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9"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lastRenderedPageBreak/>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 xml:space="preserve">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w:t>
      </w:r>
      <w:r w:rsidRPr="006E03ED">
        <w:rPr>
          <w:bCs/>
          <w:sz w:val="28"/>
          <w:szCs w:val="28"/>
        </w:rPr>
        <w:lastRenderedPageBreak/>
        <w:t>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10"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lastRenderedPageBreak/>
        <w:t xml:space="preserve">В соответствии с положениями </w:t>
      </w:r>
      <w:hyperlink r:id="rId11" w:history="1">
        <w:r w:rsidRPr="006E03ED">
          <w:rPr>
            <w:bCs/>
          </w:rPr>
          <w:t>Закон</w:t>
        </w:r>
      </w:hyperlink>
      <w:r w:rsidRPr="006E03ED">
        <w:rPr>
          <w:bCs/>
          <w:sz w:val="28"/>
          <w:szCs w:val="28"/>
        </w:rPr>
        <w:t xml:space="preserve">а № 275-ФЗ утратила силу </w:t>
      </w:r>
      <w:hyperlink r:id="rId12"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3" w:history="1">
        <w:r w:rsidRPr="006E03ED">
          <w:rPr>
            <w:bCs/>
          </w:rPr>
          <w:t>Закон</w:t>
        </w:r>
      </w:hyperlink>
      <w:r w:rsidRPr="006E03ED">
        <w:rPr>
          <w:bCs/>
          <w:sz w:val="28"/>
          <w:szCs w:val="28"/>
        </w:rPr>
        <w:t xml:space="preserve">ом № 275-ФЗ внесены изменения в </w:t>
      </w:r>
      <w:hyperlink r:id="rId14"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5"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702C67" w:rsidP="003C5A54">
      <w:pPr>
        <w:pStyle w:val="a3"/>
        <w:ind w:firstLine="709"/>
        <w:jc w:val="both"/>
        <w:rPr>
          <w:bCs/>
          <w:sz w:val="28"/>
          <w:szCs w:val="28"/>
        </w:rPr>
      </w:pPr>
      <w:hyperlink r:id="rId16"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7"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702C67" w:rsidP="003C5A54">
      <w:pPr>
        <w:pStyle w:val="a3"/>
        <w:ind w:firstLine="709"/>
        <w:jc w:val="both"/>
        <w:rPr>
          <w:bCs/>
          <w:sz w:val="28"/>
          <w:szCs w:val="28"/>
        </w:rPr>
      </w:pPr>
      <w:hyperlink r:id="rId18"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 xml:space="preserve">Необходимо учитывать, что принятие антимонопольным органом решения о возбуждении дела о нарушении указанных в Законе пунктов </w:t>
      </w:r>
      <w:r w:rsidRPr="006E03ED">
        <w:rPr>
          <w:bCs/>
          <w:sz w:val="28"/>
          <w:szCs w:val="28"/>
        </w:rPr>
        <w:lastRenderedPageBreak/>
        <w:t>(статей)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9"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lastRenderedPageBreak/>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lastRenderedPageBreak/>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lastRenderedPageBreak/>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20"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w:t>
      </w:r>
      <w:r w:rsidRPr="006E03ED">
        <w:rPr>
          <w:sz w:val="28"/>
          <w:szCs w:val="28"/>
        </w:rPr>
        <w:lastRenderedPageBreak/>
        <w:t>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1"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lastRenderedPageBreak/>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2"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3" w:history="1">
        <w:r w:rsidRPr="0043435D">
          <w:rPr>
            <w:sz w:val="28"/>
            <w:szCs w:val="28"/>
          </w:rPr>
          <w:t>частями 2</w:t>
        </w:r>
      </w:hyperlink>
      <w:r w:rsidRPr="006E03ED">
        <w:rPr>
          <w:sz w:val="28"/>
          <w:szCs w:val="28"/>
        </w:rPr>
        <w:t xml:space="preserve"> - </w:t>
      </w:r>
      <w:hyperlink r:id="rId24"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5" w:history="1">
        <w:r w:rsidRPr="0043435D">
          <w:rPr>
            <w:sz w:val="28"/>
            <w:szCs w:val="28"/>
          </w:rPr>
          <w:t>статьей 12</w:t>
        </w:r>
      </w:hyperlink>
      <w:r w:rsidRPr="006E03ED">
        <w:rPr>
          <w:sz w:val="28"/>
          <w:szCs w:val="28"/>
        </w:rPr>
        <w:t xml:space="preserve"> или с </w:t>
      </w:r>
      <w:hyperlink r:id="rId26"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lastRenderedPageBreak/>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 xml:space="preserve">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E03ED">
        <w:rPr>
          <w:sz w:val="28"/>
          <w:szCs w:val="28"/>
        </w:rPr>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lastRenderedPageBreak/>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lastRenderedPageBreak/>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7"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w:t>
      </w:r>
      <w:r w:rsidRPr="006E03ED">
        <w:rPr>
          <w:sz w:val="28"/>
          <w:szCs w:val="28"/>
        </w:rPr>
        <w:lastRenderedPageBreak/>
        <w:t>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lastRenderedPageBreak/>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 xml:space="preserve">Настоящие разъяснения направлены участникам отношений по морской контейнерной перевозке грузов о соблюдении минимальных </w:t>
      </w:r>
      <w:r w:rsidRPr="00140A44">
        <w:rPr>
          <w:rFonts w:ascii="Times New Roman" w:eastAsia="Times New Roman" w:hAnsi="Times New Roman" w:cs="Times New Roman"/>
          <w:sz w:val="28"/>
          <w:szCs w:val="28"/>
          <w:lang w:eastAsia="ru-RU"/>
        </w:rPr>
        <w:lastRenderedPageBreak/>
        <w:t>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 xml:space="preserve">Как уже указывалось, особым правовым статусом и полномочиями обладает Президиум ФАС России. Далее, представляется необходимым </w:t>
      </w:r>
      <w:r w:rsidRPr="00140A44">
        <w:rPr>
          <w:sz w:val="28"/>
          <w:szCs w:val="28"/>
        </w:rPr>
        <w:lastRenderedPageBreak/>
        <w:t>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 xml:space="preserve">2) аудиозапись, сделанная заявителем по делу № А-136/16-15, может выступать надлежащим доказательством в совокупности и наряду с другими </w:t>
      </w:r>
      <w:r w:rsidRPr="00140A44">
        <w:rPr>
          <w:sz w:val="28"/>
          <w:szCs w:val="28"/>
        </w:rPr>
        <w:lastRenderedPageBreak/>
        <w:t>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 xml:space="preserve">1) решение Ростовского УФАС России № 213/02 от 23.12.2015 вынесено в период действия редакции Закона о защите конкуренции от 13.07.2015, в </w:t>
      </w:r>
      <w:r w:rsidRPr="00140A44">
        <w:rPr>
          <w:sz w:val="28"/>
          <w:szCs w:val="28"/>
        </w:rPr>
        <w:lastRenderedPageBreak/>
        <w:t>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lastRenderedPageBreak/>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lastRenderedPageBreak/>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lastRenderedPageBreak/>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 xml:space="preserve">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w:t>
      </w:r>
      <w:r w:rsidRPr="00140A44">
        <w:rPr>
          <w:sz w:val="28"/>
          <w:szCs w:val="28"/>
        </w:rPr>
        <w:lastRenderedPageBreak/>
        <w:t>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lastRenderedPageBreak/>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 xml:space="preserve">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w:t>
      </w:r>
      <w:r w:rsidRPr="00140A44">
        <w:rPr>
          <w:sz w:val="28"/>
          <w:szCs w:val="28"/>
        </w:rPr>
        <w:lastRenderedPageBreak/>
        <w:t>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 xml:space="preserve">1) Положения пункта 2 части 1 статьи 11 Закона о защите конкуренции применимы к рассматриваемому делу, поскольку Деев А.Ю. принимал </w:t>
      </w:r>
      <w:r w:rsidRPr="00140A44">
        <w:rPr>
          <w:sz w:val="28"/>
          <w:szCs w:val="28"/>
        </w:rPr>
        <w:lastRenderedPageBreak/>
        <w:t>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w:t>
      </w:r>
      <w:r w:rsidRPr="00140A44">
        <w:rPr>
          <w:sz w:val="28"/>
          <w:szCs w:val="28"/>
        </w:rPr>
        <w:lastRenderedPageBreak/>
        <w:t xml:space="preserve">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lastRenderedPageBreak/>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 xml:space="preserve">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w:t>
      </w:r>
      <w:r w:rsidRPr="00140A44">
        <w:rPr>
          <w:sz w:val="28"/>
          <w:szCs w:val="28"/>
        </w:rPr>
        <w:lastRenderedPageBreak/>
        <w:t>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 xml:space="preserve">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w:t>
      </w:r>
      <w:r w:rsidRPr="00140A44">
        <w:rPr>
          <w:sz w:val="28"/>
          <w:szCs w:val="28"/>
        </w:rPr>
        <w:lastRenderedPageBreak/>
        <w:t>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lastRenderedPageBreak/>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lastRenderedPageBreak/>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lastRenderedPageBreak/>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lastRenderedPageBreak/>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 xml:space="preserve">Законопроектом предусматривается выдача согласия антимонопольного органа в письменной форме на создание, в том числе </w:t>
      </w:r>
      <w:r w:rsidRPr="001E6FC7">
        <w:rPr>
          <w:sz w:val="28"/>
          <w:szCs w:val="28"/>
        </w:rPr>
        <w:lastRenderedPageBreak/>
        <w:t>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67" w:rsidRDefault="00702C67" w:rsidP="0060395C">
      <w:pPr>
        <w:spacing w:after="0" w:line="240" w:lineRule="auto"/>
      </w:pPr>
      <w:r>
        <w:separator/>
      </w:r>
    </w:p>
  </w:endnote>
  <w:endnote w:type="continuationSeparator" w:id="0">
    <w:p w:rsidR="00702C67" w:rsidRDefault="00702C67"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48601D">
          <w:rPr>
            <w:noProof/>
          </w:rPr>
          <w:t>1</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67" w:rsidRDefault="00702C67" w:rsidP="0060395C">
      <w:pPr>
        <w:spacing w:after="0" w:line="240" w:lineRule="auto"/>
      </w:pPr>
      <w:r>
        <w:separator/>
      </w:r>
    </w:p>
  </w:footnote>
  <w:footnote w:type="continuationSeparator" w:id="0">
    <w:p w:rsidR="00702C67" w:rsidRDefault="00702C67"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8601D"/>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consultantplus://offline/ref=D3102ECC368E5F70360062E7EF026D7446475EB46DC3CE4A5C8BBDD26ED2Q9K" TargetMode="External"/><Relationship Id="rId26" Type="http://schemas.openxmlformats.org/officeDocument/2006/relationships/hyperlink" Target="consultantplus://offline/ref=5DFD3238610D79BB722C5BE30ADF45F80EF33F9C830225137D0F8BE2817B961F7562191824sCwEM" TargetMode="Externa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consultantplus://offline/ref=343B1993C5FD204A2E04C8FF0D39E17B0760D592EFBFB25210210346CAC32092C4ED456829D8G0M" TargetMode="Externa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BB1DBD4B2048583C4C9A75F2310861E3711DE45BC94C3CB3B706E6D837DA2D629C8015420c0MFK" TargetMode="External"/><Relationship Id="rId17" Type="http://schemas.openxmlformats.org/officeDocument/2006/relationships/hyperlink" Target="consultantplus://offline/ref=93CD1A23DFF157724DB8D32DD51F7994E1FEBFA658B3801754BB5E98F67568E6B2611207581834O4K" TargetMode="External"/><Relationship Id="rId25" Type="http://schemas.openxmlformats.org/officeDocument/2006/relationships/hyperlink" Target="consultantplus://offline/ref=5DFD3238610D79BB722C5BE30ADF45F80EF33F9C830225137D0F8BE2817B961F7562191A20CF6839sCw1M" TargetMode="Externa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hyperlink" Target="consultantplus://offline/ref=93CD1A23DFF157724DB8D32DD51F7994E1FFBBAF5EB5801754BB5E98F637O5K" TargetMode="External"/><Relationship Id="rId20" Type="http://schemas.openxmlformats.org/officeDocument/2006/relationships/hyperlink" Target="http://www.fas.gov.ru" TargetMode="External"/><Relationship Id="rId29" Type="http://schemas.openxmlformats.org/officeDocument/2006/relationships/chart" Target="charts/chart2.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1sCwBM"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hyperlink" Target="consultantplus://offline/ref=9BB1DBD4B2048583C4C9A75F2310861E3711DB4DBA95C3CB3B706E6D83c7MDK" TargetMode="External"/><Relationship Id="rId23" Type="http://schemas.openxmlformats.org/officeDocument/2006/relationships/hyperlink" Target="consultantplus://offline/ref=5DFD3238610D79BB722C5BE30ADF45F80EF33F9C830225137D0F8BE2817B961F7562191821sCwFM" TargetMode="Externa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theme" Target="theme/theme1.xml"/><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D99D485A8717C07C4C92CB944F86F789BB06D15749118F850AD53E82B00CC42DCE61A818254C4F0CJFz4I" TargetMode="External"/><Relationship Id="rId31" Type="http://schemas.openxmlformats.org/officeDocument/2006/relationships/chart" Target="charts/chart4.xml"/><Relationship Id="rId44"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BB1DBD4B2048583C4C9A75F2310861E3711DE45BC94C3CB3B706E6D837DA2D629C8015420c0MBK" TargetMode="External"/><Relationship Id="rId22" Type="http://schemas.openxmlformats.org/officeDocument/2006/relationships/hyperlink" Target="consultantplus://offline/ref=5E27A05F0C9590DCFF9DEACC093E94513169B49EF00391799C2B19FFC640464E9E50563E25MFHAM" TargetMode="External"/><Relationship Id="rId27" Type="http://schemas.openxmlformats.org/officeDocument/2006/relationships/hyperlink" Target="consultantplus://offline/ref=BC5DE95A317017FD78D3C1BDF1CEA7A75E56CD12EAAB26A58358CF90AF806C2779FBA5D92EzEr6K"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marker val="1"/>
        <c:smooth val="0"/>
        <c:axId val="168193024"/>
        <c:axId val="168198912"/>
      </c:lineChart>
      <c:catAx>
        <c:axId val="1681930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8198912"/>
        <c:crosses val="autoZero"/>
        <c:auto val="1"/>
        <c:lblAlgn val="ctr"/>
        <c:lblOffset val="100"/>
        <c:noMultiLvlLbl val="0"/>
      </c:catAx>
      <c:valAx>
        <c:axId val="168198912"/>
        <c:scaling>
          <c:orientation val="minMax"/>
          <c:max val="52000"/>
          <c:min val="0"/>
        </c:scaling>
        <c:delete val="1"/>
        <c:axPos val="l"/>
        <c:numFmt formatCode="General" sourceLinked="1"/>
        <c:majorTickMark val="out"/>
        <c:minorTickMark val="none"/>
        <c:tickLblPos val="nextTo"/>
        <c:crossAx val="168193024"/>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150459136"/>
        <c:axId val="150460672"/>
      </c:barChart>
      <c:catAx>
        <c:axId val="1504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0460672"/>
        <c:crosses val="autoZero"/>
        <c:auto val="1"/>
        <c:lblAlgn val="ctr"/>
        <c:lblOffset val="100"/>
        <c:noMultiLvlLbl val="0"/>
      </c:catAx>
      <c:valAx>
        <c:axId val="150460672"/>
        <c:scaling>
          <c:orientation val="minMax"/>
        </c:scaling>
        <c:delete val="1"/>
        <c:axPos val="l"/>
        <c:numFmt formatCode="General" sourceLinked="1"/>
        <c:majorTickMark val="none"/>
        <c:minorTickMark val="none"/>
        <c:tickLblPos val="nextTo"/>
        <c:crossAx val="1504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marker val="1"/>
        <c:smooth val="0"/>
        <c:axId val="168246656"/>
        <c:axId val="168256640"/>
      </c:lineChart>
      <c:catAx>
        <c:axId val="16824665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8256640"/>
        <c:crosses val="autoZero"/>
        <c:auto val="1"/>
        <c:lblAlgn val="ctr"/>
        <c:lblOffset val="100"/>
        <c:noMultiLvlLbl val="0"/>
      </c:catAx>
      <c:valAx>
        <c:axId val="168256640"/>
        <c:scaling>
          <c:orientation val="minMax"/>
        </c:scaling>
        <c:delete val="1"/>
        <c:axPos val="l"/>
        <c:numFmt formatCode="General" sourceLinked="1"/>
        <c:majorTickMark val="none"/>
        <c:minorTickMark val="none"/>
        <c:tickLblPos val="nextTo"/>
        <c:crossAx val="16824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168290560"/>
        <c:axId val="170594304"/>
      </c:barChart>
      <c:catAx>
        <c:axId val="1682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0594304"/>
        <c:crosses val="autoZero"/>
        <c:auto val="1"/>
        <c:lblAlgn val="ctr"/>
        <c:lblOffset val="100"/>
        <c:noMultiLvlLbl val="0"/>
      </c:catAx>
      <c:valAx>
        <c:axId val="170594304"/>
        <c:scaling>
          <c:orientation val="minMax"/>
        </c:scaling>
        <c:delete val="1"/>
        <c:axPos val="l"/>
        <c:numFmt formatCode="General" sourceLinked="1"/>
        <c:majorTickMark val="none"/>
        <c:minorTickMark val="none"/>
        <c:tickLblPos val="nextTo"/>
        <c:crossAx val="1682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170611840"/>
        <c:axId val="170613376"/>
      </c:barChart>
      <c:catAx>
        <c:axId val="17061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70613376"/>
        <c:crosses val="autoZero"/>
        <c:auto val="1"/>
        <c:lblAlgn val="ctr"/>
        <c:lblOffset val="100"/>
        <c:noMultiLvlLbl val="0"/>
      </c:catAx>
      <c:valAx>
        <c:axId val="170613376"/>
        <c:scaling>
          <c:orientation val="minMax"/>
        </c:scaling>
        <c:delete val="1"/>
        <c:axPos val="l"/>
        <c:numFmt formatCode="General" sourceLinked="1"/>
        <c:majorTickMark val="none"/>
        <c:minorTickMark val="none"/>
        <c:tickLblPos val="nextTo"/>
        <c:crossAx val="17061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170663936"/>
        <c:axId val="170665472"/>
      </c:areaChart>
      <c:catAx>
        <c:axId val="170663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0665472"/>
        <c:crosses val="autoZero"/>
        <c:auto val="1"/>
        <c:lblAlgn val="ctr"/>
        <c:lblOffset val="100"/>
        <c:noMultiLvlLbl val="0"/>
      </c:catAx>
      <c:valAx>
        <c:axId val="170665472"/>
        <c:scaling>
          <c:orientation val="minMax"/>
          <c:max val="700"/>
          <c:min val="0"/>
        </c:scaling>
        <c:delete val="1"/>
        <c:axPos val="l"/>
        <c:numFmt formatCode="General" sourceLinked="1"/>
        <c:majorTickMark val="out"/>
        <c:minorTickMark val="none"/>
        <c:tickLblPos val="nextTo"/>
        <c:crossAx val="170663936"/>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170709376"/>
        <c:axId val="170712064"/>
      </c:barChart>
      <c:catAx>
        <c:axId val="170709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0712064"/>
        <c:crosses val="autoZero"/>
        <c:auto val="1"/>
        <c:lblAlgn val="ctr"/>
        <c:lblOffset val="100"/>
        <c:noMultiLvlLbl val="0"/>
      </c:catAx>
      <c:valAx>
        <c:axId val="170712064"/>
        <c:scaling>
          <c:orientation val="minMax"/>
        </c:scaling>
        <c:delete val="1"/>
        <c:axPos val="b"/>
        <c:numFmt formatCode="General" sourceLinked="1"/>
        <c:majorTickMark val="none"/>
        <c:minorTickMark val="none"/>
        <c:tickLblPos val="nextTo"/>
        <c:crossAx val="170709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marker val="1"/>
        <c:smooth val="0"/>
        <c:axId val="170738816"/>
        <c:axId val="170762240"/>
      </c:lineChart>
      <c:catAx>
        <c:axId val="1707388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70762240"/>
        <c:crosses val="autoZero"/>
        <c:auto val="1"/>
        <c:lblAlgn val="ctr"/>
        <c:lblOffset val="100"/>
        <c:noMultiLvlLbl val="0"/>
      </c:catAx>
      <c:valAx>
        <c:axId val="170762240"/>
        <c:scaling>
          <c:orientation val="minMax"/>
        </c:scaling>
        <c:delete val="1"/>
        <c:axPos val="l"/>
        <c:numFmt formatCode="General" sourceLinked="1"/>
        <c:majorTickMark val="none"/>
        <c:minorTickMark val="none"/>
        <c:tickLblPos val="nextTo"/>
        <c:crossAx val="170738816"/>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marker val="1"/>
        <c:smooth val="0"/>
        <c:axId val="170795776"/>
        <c:axId val="170797312"/>
      </c:lineChart>
      <c:catAx>
        <c:axId val="1707957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70797312"/>
        <c:crosses val="autoZero"/>
        <c:auto val="1"/>
        <c:lblAlgn val="ctr"/>
        <c:lblOffset val="100"/>
        <c:noMultiLvlLbl val="0"/>
      </c:catAx>
      <c:valAx>
        <c:axId val="170797312"/>
        <c:scaling>
          <c:orientation val="minMax"/>
        </c:scaling>
        <c:delete val="1"/>
        <c:axPos val="l"/>
        <c:numFmt formatCode="General" sourceLinked="1"/>
        <c:majorTickMark val="none"/>
        <c:minorTickMark val="none"/>
        <c:tickLblPos val="nextTo"/>
        <c:crossAx val="17079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170849024"/>
        <c:axId val="170850560"/>
      </c:barChart>
      <c:catAx>
        <c:axId val="17084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0850560"/>
        <c:crosses val="autoZero"/>
        <c:auto val="1"/>
        <c:lblAlgn val="ctr"/>
        <c:lblOffset val="100"/>
        <c:noMultiLvlLbl val="0"/>
      </c:catAx>
      <c:valAx>
        <c:axId val="170850560"/>
        <c:scaling>
          <c:orientation val="minMax"/>
        </c:scaling>
        <c:delete val="1"/>
        <c:axPos val="l"/>
        <c:numFmt formatCode="0%" sourceLinked="1"/>
        <c:majorTickMark val="none"/>
        <c:minorTickMark val="none"/>
        <c:tickLblPos val="nextTo"/>
        <c:crossAx val="17084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170896384"/>
        <c:axId val="170922752"/>
      </c:barChart>
      <c:catAx>
        <c:axId val="17089638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0922752"/>
        <c:crosses val="autoZero"/>
        <c:auto val="1"/>
        <c:lblAlgn val="ctr"/>
        <c:lblOffset val="100"/>
        <c:noMultiLvlLbl val="0"/>
      </c:catAx>
      <c:valAx>
        <c:axId val="170922752"/>
        <c:scaling>
          <c:orientation val="minMax"/>
          <c:max val="25000"/>
          <c:min val="0"/>
        </c:scaling>
        <c:delete val="1"/>
        <c:axPos val="b"/>
        <c:numFmt formatCode="General" sourceLinked="1"/>
        <c:majorTickMark val="out"/>
        <c:minorTickMark val="none"/>
        <c:tickLblPos val="nextTo"/>
        <c:crossAx val="17089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172496000"/>
        <c:axId val="172497536"/>
      </c:areaChart>
      <c:catAx>
        <c:axId val="172496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2497536"/>
        <c:crosses val="autoZero"/>
        <c:auto val="1"/>
        <c:lblAlgn val="ctr"/>
        <c:lblOffset val="100"/>
        <c:noMultiLvlLbl val="0"/>
      </c:catAx>
      <c:valAx>
        <c:axId val="172497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2496000"/>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marker val="1"/>
        <c:smooth val="0"/>
        <c:axId val="88454656"/>
        <c:axId val="88457600"/>
      </c:lineChart>
      <c:catAx>
        <c:axId val="8845465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8457600"/>
        <c:crosses val="autoZero"/>
        <c:auto val="1"/>
        <c:lblAlgn val="ctr"/>
        <c:lblOffset val="100"/>
        <c:noMultiLvlLbl val="0"/>
      </c:catAx>
      <c:valAx>
        <c:axId val="88457600"/>
        <c:scaling>
          <c:orientation val="minMax"/>
        </c:scaling>
        <c:delete val="1"/>
        <c:axPos val="l"/>
        <c:numFmt formatCode="General" sourceLinked="1"/>
        <c:majorTickMark val="out"/>
        <c:minorTickMark val="none"/>
        <c:tickLblPos val="nextTo"/>
        <c:crossAx val="88454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168166912"/>
        <c:axId val="168168448"/>
      </c:barChart>
      <c:catAx>
        <c:axId val="16816691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8168448"/>
        <c:crosses val="autoZero"/>
        <c:auto val="1"/>
        <c:lblAlgn val="ctr"/>
        <c:lblOffset val="100"/>
        <c:noMultiLvlLbl val="0"/>
      </c:catAx>
      <c:valAx>
        <c:axId val="168168448"/>
        <c:scaling>
          <c:orientation val="minMax"/>
        </c:scaling>
        <c:delete val="1"/>
        <c:axPos val="l"/>
        <c:numFmt formatCode="General" sourceLinked="1"/>
        <c:majorTickMark val="out"/>
        <c:minorTickMark val="none"/>
        <c:tickLblPos val="nextTo"/>
        <c:crossAx val="16816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168112512"/>
        <c:axId val="168114048"/>
      </c:barChart>
      <c:catAx>
        <c:axId val="1681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8114048"/>
        <c:crosses val="autoZero"/>
        <c:auto val="1"/>
        <c:lblAlgn val="ctr"/>
        <c:lblOffset val="100"/>
        <c:noMultiLvlLbl val="0"/>
      </c:catAx>
      <c:valAx>
        <c:axId val="168114048"/>
        <c:scaling>
          <c:orientation val="minMax"/>
        </c:scaling>
        <c:delete val="1"/>
        <c:axPos val="l"/>
        <c:numFmt formatCode="General" sourceLinked="1"/>
        <c:majorTickMark val="none"/>
        <c:minorTickMark val="none"/>
        <c:tickLblPos val="nextTo"/>
        <c:crossAx val="16811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168137472"/>
        <c:axId val="168140160"/>
      </c:barChart>
      <c:catAx>
        <c:axId val="16813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8140160"/>
        <c:crosses val="autoZero"/>
        <c:auto val="1"/>
        <c:lblAlgn val="ctr"/>
        <c:lblOffset val="100"/>
        <c:noMultiLvlLbl val="0"/>
      </c:catAx>
      <c:valAx>
        <c:axId val="168140160"/>
        <c:scaling>
          <c:orientation val="minMax"/>
        </c:scaling>
        <c:delete val="1"/>
        <c:axPos val="l"/>
        <c:numFmt formatCode="0%" sourceLinked="1"/>
        <c:majorTickMark val="none"/>
        <c:minorTickMark val="none"/>
        <c:tickLblPos val="nextTo"/>
        <c:crossAx val="168137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marker val="1"/>
        <c:smooth val="0"/>
        <c:axId val="131670400"/>
        <c:axId val="131671936"/>
      </c:lineChart>
      <c:catAx>
        <c:axId val="13167040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31671936"/>
        <c:crosses val="autoZero"/>
        <c:auto val="1"/>
        <c:lblAlgn val="ctr"/>
        <c:lblOffset val="100"/>
        <c:noMultiLvlLbl val="0"/>
      </c:catAx>
      <c:valAx>
        <c:axId val="131671936"/>
        <c:scaling>
          <c:orientation val="minMax"/>
        </c:scaling>
        <c:delete val="1"/>
        <c:axPos val="l"/>
        <c:numFmt formatCode="General" sourceLinked="1"/>
        <c:majorTickMark val="none"/>
        <c:minorTickMark val="none"/>
        <c:tickLblPos val="nextTo"/>
        <c:crossAx val="13167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131700992"/>
        <c:axId val="131710976"/>
      </c:areaChart>
      <c:catAx>
        <c:axId val="131700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31710976"/>
        <c:crosses val="autoZero"/>
        <c:auto val="1"/>
        <c:lblAlgn val="ctr"/>
        <c:lblOffset val="100"/>
        <c:noMultiLvlLbl val="0"/>
      </c:catAx>
      <c:valAx>
        <c:axId val="131710976"/>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31700992"/>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150413696"/>
        <c:axId val="150415232"/>
      </c:areaChart>
      <c:catAx>
        <c:axId val="150413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0415232"/>
        <c:crosses val="autoZero"/>
        <c:auto val="1"/>
        <c:lblAlgn val="ctr"/>
        <c:lblOffset val="100"/>
        <c:noMultiLvlLbl val="0"/>
      </c:catAx>
      <c:valAx>
        <c:axId val="150415232"/>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0413696"/>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37A5-5A47-4AEA-95AA-4537A3D7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Григорьев Илья Николаевич</cp:lastModifiedBy>
  <cp:revision>2</cp:revision>
  <dcterms:created xsi:type="dcterms:W3CDTF">2018-04-20T08:54:00Z</dcterms:created>
  <dcterms:modified xsi:type="dcterms:W3CDTF">2018-04-20T08:54:00Z</dcterms:modified>
</cp:coreProperties>
</file>